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suppressAutoHyphens w:val="0"/>
        <w:kinsoku/>
        <w:wordWrap/>
        <w:overflowPunct/>
        <w:topLinePunct w:val="0"/>
        <w:autoSpaceDE/>
        <w:autoSpaceDN/>
        <w:bidi w:val="0"/>
        <w:adjustRightInd/>
        <w:snapToGrid/>
        <w:spacing w:after="150" w:line="560" w:lineRule="exact"/>
        <w:jc w:val="both"/>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rPr>
        <w:t>附件</w:t>
      </w:r>
      <w:r>
        <w:rPr>
          <w:rFonts w:ascii="黑体" w:hAnsi="黑体" w:eastAsia="黑体" w:cs="宋体"/>
          <w:color w:val="333333"/>
          <w:kern w:val="0"/>
          <w:sz w:val="32"/>
          <w:szCs w:val="32"/>
        </w:rPr>
        <w:t>1</w:t>
      </w:r>
    </w:p>
    <w:p>
      <w:pPr>
        <w:keepNext w:val="0"/>
        <w:keepLines w:val="0"/>
        <w:pageBreakBefore w:val="0"/>
        <w:widowControl/>
        <w:shd w:val="clear" w:color="auto" w:fill="FFFFFF"/>
        <w:suppressAutoHyphens w:val="0"/>
        <w:kinsoku/>
        <w:wordWrap/>
        <w:overflowPunct/>
        <w:topLinePunct w:val="0"/>
        <w:autoSpaceDE/>
        <w:autoSpaceDN/>
        <w:bidi w:val="0"/>
        <w:adjustRightInd/>
        <w:snapToGrid/>
        <w:spacing w:after="150" w:line="560" w:lineRule="exact"/>
        <w:jc w:val="center"/>
        <w:textAlignment w:val="auto"/>
        <w:rPr>
          <w:rFonts w:hint="eastAsia" w:ascii="方正小标宋简体" w:hAnsi="微软雅黑" w:eastAsia="方正小标宋简体" w:cs="宋体"/>
          <w:color w:val="333333"/>
          <w:kern w:val="0"/>
          <w:sz w:val="36"/>
          <w:szCs w:val="36"/>
        </w:rPr>
      </w:pPr>
      <w:r>
        <w:rPr>
          <w:rFonts w:hint="eastAsia" w:ascii="方正小标宋简体" w:hAnsi="微软雅黑" w:eastAsia="方正小标宋简体" w:cs="宋体"/>
          <w:color w:val="333333"/>
          <w:kern w:val="0"/>
          <w:sz w:val="36"/>
          <w:szCs w:val="36"/>
        </w:rPr>
        <w:t>非营利组织免税资格认定申请表</w:t>
      </w:r>
    </w:p>
    <w:tbl>
      <w:tblPr>
        <w:tblStyle w:val="6"/>
        <w:tblW w:w="8950" w:type="dxa"/>
        <w:tblInd w:w="105" w:type="dxa"/>
        <w:tblLayout w:type="fixed"/>
        <w:tblCellMar>
          <w:top w:w="0" w:type="dxa"/>
          <w:left w:w="0" w:type="dxa"/>
          <w:bottom w:w="0" w:type="dxa"/>
          <w:right w:w="0" w:type="dxa"/>
        </w:tblCellMar>
      </w:tblPr>
      <w:tblGrid>
        <w:gridCol w:w="3"/>
        <w:gridCol w:w="2085"/>
        <w:gridCol w:w="2206"/>
        <w:gridCol w:w="1919"/>
        <w:gridCol w:w="2201"/>
        <w:gridCol w:w="20"/>
        <w:gridCol w:w="516"/>
      </w:tblGrid>
      <w:tr>
        <w:tblPrEx>
          <w:tblLayout w:type="fixed"/>
          <w:tblCellMar>
            <w:top w:w="0" w:type="dxa"/>
            <w:left w:w="0" w:type="dxa"/>
            <w:bottom w:w="0" w:type="dxa"/>
            <w:right w:w="0" w:type="dxa"/>
          </w:tblCellMar>
        </w:tblPrEx>
        <w:trPr>
          <w:trHeight w:val="90" w:hRule="atLeast"/>
        </w:trPr>
        <w:tc>
          <w:tcPr>
            <w:tcW w:w="2088"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hint="eastAsia" w:ascii="宋体" w:hAnsi="宋体" w:cs="宋体"/>
                <w:kern w:val="0"/>
                <w:sz w:val="24"/>
              </w:rPr>
            </w:pPr>
            <w:r>
              <w:rPr>
                <w:rFonts w:ascii="宋体" w:hAnsi="宋体" w:cs="宋体"/>
                <w:kern w:val="0"/>
                <w:sz w:val="24"/>
              </w:rPr>
              <w:t>单位名称</w:t>
            </w:r>
          </w:p>
        </w:tc>
        <w:tc>
          <w:tcPr>
            <w:tcW w:w="6862" w:type="dxa"/>
            <w:gridSpan w:val="5"/>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p>
        </w:tc>
      </w:tr>
      <w:tr>
        <w:tblPrEx>
          <w:tblLayout w:type="fixed"/>
          <w:tblCellMar>
            <w:top w:w="0" w:type="dxa"/>
            <w:left w:w="0" w:type="dxa"/>
            <w:bottom w:w="0" w:type="dxa"/>
            <w:right w:w="0" w:type="dxa"/>
          </w:tblCellMar>
        </w:tblPrEx>
        <w:trPr>
          <w:trHeight w:val="15" w:hRule="atLeast"/>
        </w:trPr>
        <w:tc>
          <w:tcPr>
            <w:tcW w:w="2088"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注册地址</w:t>
            </w:r>
          </w:p>
        </w:tc>
        <w:tc>
          <w:tcPr>
            <w:tcW w:w="6862"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p>
        </w:tc>
      </w:tr>
      <w:tr>
        <w:tblPrEx>
          <w:tblLayout w:type="fixed"/>
          <w:tblCellMar>
            <w:top w:w="0" w:type="dxa"/>
            <w:left w:w="0" w:type="dxa"/>
            <w:bottom w:w="0" w:type="dxa"/>
            <w:right w:w="0" w:type="dxa"/>
          </w:tblCellMar>
        </w:tblPrEx>
        <w:trPr>
          <w:trHeight w:val="15" w:hRule="atLeast"/>
        </w:trPr>
        <w:tc>
          <w:tcPr>
            <w:tcW w:w="2088"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证照号码</w:t>
            </w:r>
          </w:p>
        </w:tc>
        <w:tc>
          <w:tcPr>
            <w:tcW w:w="2206"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p>
        </w:tc>
        <w:tc>
          <w:tcPr>
            <w:tcW w:w="19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登记管理机关</w:t>
            </w:r>
          </w:p>
        </w:tc>
        <w:tc>
          <w:tcPr>
            <w:tcW w:w="2737"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p>
        </w:tc>
      </w:tr>
      <w:tr>
        <w:tblPrEx>
          <w:tblLayout w:type="fixed"/>
          <w:tblCellMar>
            <w:top w:w="0" w:type="dxa"/>
            <w:left w:w="0" w:type="dxa"/>
            <w:bottom w:w="0" w:type="dxa"/>
            <w:right w:w="0" w:type="dxa"/>
          </w:tblCellMar>
        </w:tblPrEx>
        <w:trPr>
          <w:trHeight w:val="15" w:hRule="atLeast"/>
        </w:trPr>
        <w:tc>
          <w:tcPr>
            <w:tcW w:w="2088"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设立或登记时间</w:t>
            </w:r>
          </w:p>
        </w:tc>
        <w:tc>
          <w:tcPr>
            <w:tcW w:w="2206"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p>
        </w:tc>
        <w:tc>
          <w:tcPr>
            <w:tcW w:w="19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申请年度</w:t>
            </w:r>
          </w:p>
        </w:tc>
        <w:tc>
          <w:tcPr>
            <w:tcW w:w="2737"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p>
        </w:tc>
      </w:tr>
      <w:tr>
        <w:tblPrEx>
          <w:tblLayout w:type="fixed"/>
          <w:tblCellMar>
            <w:top w:w="0" w:type="dxa"/>
            <w:left w:w="0" w:type="dxa"/>
            <w:bottom w:w="0" w:type="dxa"/>
            <w:right w:w="0" w:type="dxa"/>
          </w:tblCellMar>
        </w:tblPrEx>
        <w:trPr>
          <w:trHeight w:val="15" w:hRule="atLeast"/>
        </w:trPr>
        <w:tc>
          <w:tcPr>
            <w:tcW w:w="2088" w:type="dxa"/>
            <w:gridSpan w:val="2"/>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联系人</w:t>
            </w:r>
          </w:p>
        </w:tc>
        <w:tc>
          <w:tcPr>
            <w:tcW w:w="2206"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p>
        </w:tc>
        <w:tc>
          <w:tcPr>
            <w:tcW w:w="1919" w:type="dxa"/>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电话号码</w:t>
            </w:r>
          </w:p>
        </w:tc>
        <w:tc>
          <w:tcPr>
            <w:tcW w:w="2737"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p>
        </w:tc>
      </w:tr>
      <w:tr>
        <w:tblPrEx>
          <w:tblLayout w:type="fixed"/>
          <w:tblCellMar>
            <w:top w:w="0" w:type="dxa"/>
            <w:left w:w="0" w:type="dxa"/>
            <w:bottom w:w="0" w:type="dxa"/>
            <w:right w:w="0" w:type="dxa"/>
          </w:tblCellMar>
        </w:tblPrEx>
        <w:trPr>
          <w:trHeight w:val="90" w:hRule="atLeast"/>
        </w:trPr>
        <w:tc>
          <w:tcPr>
            <w:tcW w:w="8950" w:type="dxa"/>
            <w:gridSpan w:val="7"/>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是否符合以下条件</w:t>
            </w:r>
          </w:p>
        </w:tc>
      </w:tr>
      <w:tr>
        <w:tblPrEx>
          <w:tblLayout w:type="fixed"/>
          <w:tblCellMar>
            <w:top w:w="0" w:type="dxa"/>
            <w:left w:w="0" w:type="dxa"/>
            <w:bottom w:w="0" w:type="dxa"/>
            <w:right w:w="0" w:type="dxa"/>
          </w:tblCellMar>
        </w:tblPrEx>
        <w:trPr>
          <w:trHeight w:val="648" w:hRule="atLeast"/>
        </w:trPr>
        <w:tc>
          <w:tcPr>
            <w:tcW w:w="8950" w:type="dxa"/>
            <w:gridSpan w:val="7"/>
            <w:tcBorders>
              <w:top w:val="nil"/>
              <w:left w:val="single" w:color="auto" w:sz="6" w:space="0"/>
              <w:bottom w:val="single" w:color="auto" w:sz="6" w:space="0"/>
              <w:right w:val="single" w:color="auto" w:sz="6" w:space="0"/>
            </w:tcBorders>
            <w:tcMar>
              <w:top w:w="0" w:type="dxa"/>
              <w:left w:w="105" w:type="dxa"/>
              <w:bottom w:w="0" w:type="dxa"/>
              <w:right w:w="105" w:type="dxa"/>
            </w:tcMar>
            <w:vAlign w:val="top"/>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1.单位性质</w:t>
            </w:r>
            <w:r>
              <w:rPr>
                <w:rFonts w:hint="eastAsia" w:ascii="宋体" w:hAnsi="宋体" w:cs="宋体"/>
                <w:kern w:val="0"/>
                <w:sz w:val="24"/>
                <w:lang w:val="en-US" w:eastAsia="zh-CN"/>
              </w:rPr>
              <w:t xml:space="preserve">       </w:t>
            </w:r>
            <w:r>
              <w:rPr>
                <w:rFonts w:ascii="宋体" w:hAnsi="宋体" w:cs="宋体"/>
                <w:kern w:val="0"/>
                <w:sz w:val="24"/>
              </w:rPr>
              <w:t>社会团体□</w:t>
            </w:r>
            <w:r>
              <w:rPr>
                <w:rFonts w:hint="eastAsia" w:ascii="宋体" w:hAnsi="宋体" w:cs="宋体"/>
                <w:kern w:val="0"/>
                <w:sz w:val="24"/>
              </w:rPr>
              <w:t xml:space="preserve"> </w:t>
            </w:r>
            <w:r>
              <w:rPr>
                <w:rFonts w:ascii="宋体" w:hAnsi="宋体" w:cs="宋体"/>
                <w:kern w:val="0"/>
                <w:sz w:val="24"/>
              </w:rPr>
              <w:t xml:space="preserve">   基金会□    社会服务机构□</w:t>
            </w:r>
            <w:r>
              <w:rPr>
                <w:rFonts w:hint="eastAsia" w:ascii="宋体" w:hAnsi="宋体" w:cs="宋体"/>
                <w:kern w:val="0"/>
                <w:sz w:val="24"/>
              </w:rPr>
              <w:t xml:space="preserve"> </w:t>
            </w:r>
            <w:r>
              <w:rPr>
                <w:rFonts w:ascii="宋体" w:hAnsi="宋体" w:cs="宋体"/>
                <w:kern w:val="0"/>
                <w:sz w:val="24"/>
              </w:rPr>
              <w:t xml:space="preserve">   其他□</w:t>
            </w:r>
          </w:p>
        </w:tc>
      </w:tr>
      <w:tr>
        <w:tblPrEx>
          <w:tblLayout w:type="fixed"/>
          <w:tblCellMar>
            <w:top w:w="0" w:type="dxa"/>
            <w:left w:w="0" w:type="dxa"/>
            <w:bottom w:w="0" w:type="dxa"/>
            <w:right w:w="0" w:type="dxa"/>
          </w:tblCellMar>
        </w:tblPrEx>
        <w:trPr>
          <w:trHeight w:val="606" w:hRule="atLeast"/>
        </w:trPr>
        <w:tc>
          <w:tcPr>
            <w:tcW w:w="8950" w:type="dxa"/>
            <w:gridSpan w:val="7"/>
            <w:tcBorders>
              <w:top w:val="nil"/>
              <w:left w:val="single" w:color="auto" w:sz="6" w:space="0"/>
              <w:bottom w:val="single" w:color="auto" w:sz="6" w:space="0"/>
              <w:right w:val="single" w:color="auto" w:sz="6" w:space="0"/>
            </w:tcBorders>
            <w:tcMar>
              <w:top w:w="0" w:type="dxa"/>
              <w:left w:w="105" w:type="dxa"/>
              <w:bottom w:w="0" w:type="dxa"/>
              <w:right w:w="105" w:type="dxa"/>
            </w:tcMar>
            <w:vAlign w:val="top"/>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2.从事公益性或者非营利性活动                     是□　　否□</w:t>
            </w:r>
          </w:p>
        </w:tc>
      </w:tr>
      <w:tr>
        <w:tblPrEx>
          <w:tblLayout w:type="fixed"/>
          <w:tblCellMar>
            <w:top w:w="0" w:type="dxa"/>
            <w:left w:w="0" w:type="dxa"/>
            <w:bottom w:w="0" w:type="dxa"/>
            <w:right w:w="0" w:type="dxa"/>
          </w:tblCellMar>
        </w:tblPrEx>
        <w:trPr>
          <w:trHeight w:val="1090" w:hRule="atLeast"/>
        </w:trPr>
        <w:tc>
          <w:tcPr>
            <w:tcW w:w="8950" w:type="dxa"/>
            <w:gridSpan w:val="7"/>
            <w:tcBorders>
              <w:top w:val="nil"/>
              <w:left w:val="single" w:color="auto" w:sz="6" w:space="0"/>
              <w:bottom w:val="single" w:color="auto" w:sz="6" w:space="0"/>
              <w:right w:val="single" w:color="auto" w:sz="6" w:space="0"/>
            </w:tcBorders>
            <w:tcMar>
              <w:top w:w="0" w:type="dxa"/>
              <w:left w:w="105" w:type="dxa"/>
              <w:bottom w:w="0" w:type="dxa"/>
              <w:right w:w="105" w:type="dxa"/>
            </w:tcMar>
            <w:vAlign w:val="top"/>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3.取得的收入除用于与该组织有关的、合理的支出外，全部用于登记核定或者章程规定的公益性或者非营利性事业                      是□　　否□</w:t>
            </w:r>
          </w:p>
        </w:tc>
      </w:tr>
      <w:tr>
        <w:tblPrEx>
          <w:tblLayout w:type="fixed"/>
          <w:tblCellMar>
            <w:top w:w="0" w:type="dxa"/>
            <w:left w:w="0" w:type="dxa"/>
            <w:bottom w:w="0" w:type="dxa"/>
            <w:right w:w="0" w:type="dxa"/>
          </w:tblCellMar>
        </w:tblPrEx>
        <w:trPr>
          <w:trHeight w:val="724" w:hRule="atLeast"/>
        </w:trPr>
        <w:tc>
          <w:tcPr>
            <w:tcW w:w="8950" w:type="dxa"/>
            <w:gridSpan w:val="7"/>
            <w:tcBorders>
              <w:top w:val="nil"/>
              <w:left w:val="single" w:color="auto" w:sz="6" w:space="0"/>
              <w:bottom w:val="single" w:color="auto" w:sz="6" w:space="0"/>
              <w:right w:val="single" w:color="auto" w:sz="6" w:space="0"/>
            </w:tcBorders>
            <w:tcMar>
              <w:top w:w="0" w:type="dxa"/>
              <w:left w:w="105" w:type="dxa"/>
              <w:bottom w:w="0" w:type="dxa"/>
              <w:right w:w="105" w:type="dxa"/>
            </w:tcMar>
            <w:vAlign w:val="top"/>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4.财产及其孳息不用于分配，但不包括合理的工资薪金支出  </w:t>
            </w:r>
            <w:r>
              <w:rPr>
                <w:rFonts w:hint="eastAsia" w:ascii="宋体" w:hAnsi="宋体" w:cs="宋体"/>
                <w:kern w:val="0"/>
                <w:sz w:val="24"/>
                <w:lang w:val="en-US" w:eastAsia="zh-CN"/>
              </w:rPr>
              <w:t xml:space="preserve">   </w:t>
            </w:r>
            <w:r>
              <w:rPr>
                <w:rFonts w:ascii="宋体" w:hAnsi="宋体" w:cs="宋体"/>
                <w:kern w:val="0"/>
                <w:sz w:val="24"/>
              </w:rPr>
              <w:t>是□　　否□</w:t>
            </w:r>
          </w:p>
        </w:tc>
      </w:tr>
      <w:tr>
        <w:tblPrEx>
          <w:tblLayout w:type="fixed"/>
          <w:tblCellMar>
            <w:top w:w="0" w:type="dxa"/>
            <w:left w:w="0" w:type="dxa"/>
            <w:bottom w:w="0" w:type="dxa"/>
            <w:right w:w="0" w:type="dxa"/>
          </w:tblCellMar>
        </w:tblPrEx>
        <w:trPr>
          <w:trHeight w:val="90" w:hRule="atLeast"/>
        </w:trPr>
        <w:tc>
          <w:tcPr>
            <w:tcW w:w="8950" w:type="dxa"/>
            <w:gridSpan w:val="7"/>
            <w:tcBorders>
              <w:top w:val="nil"/>
              <w:left w:val="single" w:color="auto" w:sz="6" w:space="0"/>
              <w:bottom w:val="single" w:color="auto" w:sz="6" w:space="0"/>
              <w:right w:val="single" w:color="auto" w:sz="6" w:space="0"/>
            </w:tcBorders>
            <w:tcMar>
              <w:top w:w="0" w:type="dxa"/>
              <w:left w:w="105" w:type="dxa"/>
              <w:bottom w:w="0" w:type="dxa"/>
              <w:right w:w="105" w:type="dxa"/>
            </w:tcMar>
            <w:vAlign w:val="top"/>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 xml:space="preserve">5.按照登记核定或者章程规定，该组织注销后的剩余财产用于公益性或者非营利性目的，或者由登记管理机关转赠给与该组织性质、宗旨相同的组织，并向社会公告             </w:t>
            </w:r>
            <w:r>
              <w:rPr>
                <w:rFonts w:hint="eastAsia" w:ascii="宋体" w:hAnsi="宋体" w:cs="宋体"/>
                <w:kern w:val="0"/>
                <w:sz w:val="24"/>
                <w:lang w:val="en-US" w:eastAsia="zh-CN"/>
              </w:rPr>
              <w:t xml:space="preserve">   </w:t>
            </w:r>
            <w:r>
              <w:rPr>
                <w:rFonts w:ascii="宋体" w:hAnsi="宋体" w:cs="宋体"/>
                <w:kern w:val="0"/>
                <w:sz w:val="24"/>
              </w:rPr>
              <w:t xml:space="preserve">                       是□　　否□</w:t>
            </w:r>
          </w:p>
        </w:tc>
      </w:tr>
      <w:tr>
        <w:tblPrEx>
          <w:tblLayout w:type="fixed"/>
          <w:tblCellMar>
            <w:top w:w="0" w:type="dxa"/>
            <w:left w:w="0" w:type="dxa"/>
            <w:bottom w:w="0" w:type="dxa"/>
            <w:right w:w="0" w:type="dxa"/>
          </w:tblCellMar>
        </w:tblPrEx>
        <w:trPr>
          <w:trHeight w:val="1275" w:hRule="atLeast"/>
        </w:trPr>
        <w:tc>
          <w:tcPr>
            <w:tcW w:w="8950" w:type="dxa"/>
            <w:gridSpan w:val="7"/>
            <w:tcBorders>
              <w:top w:val="nil"/>
              <w:left w:val="single" w:color="auto" w:sz="6" w:space="0"/>
              <w:bottom w:val="single" w:color="auto" w:sz="6" w:space="0"/>
              <w:right w:val="single" w:color="auto" w:sz="6" w:space="0"/>
            </w:tcBorders>
            <w:tcMar>
              <w:top w:w="0" w:type="dxa"/>
              <w:left w:w="105" w:type="dxa"/>
              <w:bottom w:w="0" w:type="dxa"/>
              <w:right w:w="105" w:type="dxa"/>
            </w:tcMar>
            <w:vAlign w:val="top"/>
          </w:tcPr>
          <w:p>
            <w:pPr>
              <w:keepNext w:val="0"/>
              <w:keepLines w:val="0"/>
              <w:pageBreakBefore w:val="0"/>
              <w:widowControl/>
              <w:suppressAutoHyphens w:val="0"/>
              <w:kinsoku/>
              <w:wordWrap/>
              <w:overflowPunct/>
              <w:topLinePunct w:val="0"/>
              <w:autoSpaceDE/>
              <w:autoSpaceDN/>
              <w:bidi w:val="0"/>
              <w:adjustRightInd/>
              <w:snapToGrid/>
              <w:spacing w:after="157" w:afterLines="50" w:line="560" w:lineRule="exact"/>
              <w:jc w:val="both"/>
              <w:textAlignment w:val="auto"/>
              <w:rPr>
                <w:rFonts w:ascii="宋体" w:hAnsi="宋体" w:cs="宋体"/>
                <w:kern w:val="0"/>
                <w:sz w:val="24"/>
              </w:rPr>
            </w:pPr>
            <w:r>
              <w:rPr>
                <w:rFonts w:ascii="宋体" w:hAnsi="宋体" w:cs="宋体"/>
                <w:kern w:val="0"/>
                <w:sz w:val="24"/>
              </w:rPr>
              <w:t>6.投入人对投入该组织的财产不保留或者享有任何财产权利，本款所称投入人是指除各级人民政府及其部门外的法人、自然人和其他组织  </w:t>
            </w:r>
            <w:r>
              <w:rPr>
                <w:rFonts w:hint="eastAsia" w:ascii="宋体" w:hAnsi="宋体" w:cs="宋体"/>
                <w:kern w:val="0"/>
                <w:sz w:val="24"/>
                <w:lang w:val="en-US" w:eastAsia="zh-CN"/>
              </w:rPr>
              <w:t xml:space="preserve">  </w:t>
            </w:r>
            <w:r>
              <w:rPr>
                <w:rFonts w:ascii="宋体" w:hAnsi="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trHeight w:val="694" w:hRule="atLeast"/>
        </w:trPr>
        <w:tc>
          <w:tcPr>
            <w:tcW w:w="8411" w:type="dxa"/>
            <w:gridSpan w:val="4"/>
            <w:tcMar>
              <w:top w:w="0" w:type="dxa"/>
              <w:left w:w="105" w:type="dxa"/>
              <w:bottom w:w="0" w:type="dxa"/>
              <w:right w:w="105" w:type="dxa"/>
            </w:tcMar>
            <w:vAlign w:val="top"/>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7.工作人员工资福利开支控制在规定的比例内，不变相分配该组织的财产</w:t>
            </w:r>
          </w:p>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工作人员月平均工资薪金水平：</w:t>
            </w:r>
            <w:r>
              <w:rPr>
                <w:rFonts w:ascii="宋体" w:hAnsi="宋体" w:cs="宋体"/>
                <w:kern w:val="0"/>
                <w:sz w:val="24"/>
                <w:u w:val="single"/>
              </w:rPr>
              <w:t>　　　　　</w:t>
            </w:r>
            <w:r>
              <w:rPr>
                <w:rFonts w:ascii="宋体" w:hAnsi="宋体" w:cs="宋体"/>
                <w:kern w:val="0"/>
                <w:sz w:val="24"/>
              </w:rPr>
              <w:t>元/人</w:t>
            </w:r>
            <w:r>
              <w:rPr>
                <w:rFonts w:hint="eastAsia" w:ascii="宋体" w:hAnsi="宋体" w:cs="宋体"/>
                <w:kern w:val="0"/>
                <w:sz w:val="24"/>
              </w:rPr>
              <w:t>。</w:t>
            </w:r>
          </w:p>
          <w:p>
            <w:pPr>
              <w:keepNext w:val="0"/>
              <w:keepLines w:val="0"/>
              <w:pageBreakBefore w:val="0"/>
              <w:widowControl/>
              <w:suppressAutoHyphens w:val="0"/>
              <w:kinsoku/>
              <w:wordWrap/>
              <w:overflowPunct/>
              <w:topLinePunct w:val="0"/>
              <w:autoSpaceDE/>
              <w:autoSpaceDN/>
              <w:bidi w:val="0"/>
              <w:adjustRightInd/>
              <w:snapToGrid/>
              <w:spacing w:line="520" w:lineRule="exact"/>
              <w:ind w:firstLine="480" w:firstLineChars="200"/>
              <w:jc w:val="both"/>
              <w:textAlignment w:val="auto"/>
              <w:rPr>
                <w:rFonts w:ascii="宋体" w:hAnsi="宋体" w:cs="宋体"/>
                <w:kern w:val="0"/>
                <w:sz w:val="24"/>
              </w:rPr>
            </w:pPr>
            <w:r>
              <w:rPr>
                <w:rFonts w:ascii="宋体" w:hAnsi="宋体" w:cs="宋体"/>
                <w:kern w:val="0"/>
                <w:sz w:val="24"/>
              </w:rPr>
              <w:t>工作人员平均工资薪金水平未超过税务登记所在地的地市级（含地市级）以上地区的同行业同类组织平均工资水平的两倍，工作人员福利按照国家有关规定执行。                                     是□　　否□</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trHeight w:val="15" w:hRule="atLeast"/>
        </w:trPr>
        <w:tc>
          <w:tcPr>
            <w:tcW w:w="8411" w:type="dxa"/>
            <w:gridSpan w:val="4"/>
            <w:tcMar>
              <w:top w:w="0" w:type="dxa"/>
              <w:left w:w="105" w:type="dxa"/>
              <w:bottom w:w="0" w:type="dxa"/>
              <w:right w:w="105" w:type="dxa"/>
            </w:tcMar>
            <w:vAlign w:val="top"/>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8.对取得的应纳税收入及其有关的成本、费用、损失应与免税收入及其有关的成本、费用、损失分别核算</w:t>
            </w:r>
            <w:r>
              <w:rPr>
                <w:rFonts w:hint="eastAsia" w:ascii="宋体" w:hAnsi="宋体" w:cs="宋体"/>
                <w:kern w:val="0"/>
                <w:sz w:val="24"/>
              </w:rPr>
              <w:t xml:space="preserve">                           </w:t>
            </w:r>
            <w:r>
              <w:rPr>
                <w:rFonts w:ascii="宋体" w:hAnsi="宋体" w:cs="宋体"/>
                <w:kern w:val="0"/>
                <w:sz w:val="24"/>
              </w:rPr>
              <w:t>是□　　否□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trHeight w:val="626" w:hRule="atLeast"/>
        </w:trPr>
        <w:tc>
          <w:tcPr>
            <w:tcW w:w="8411" w:type="dxa"/>
            <w:gridSpan w:val="4"/>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附列资料</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trHeight w:val="610" w:hRule="atLeast"/>
        </w:trPr>
        <w:tc>
          <w:tcPr>
            <w:tcW w:w="8411" w:type="dxa"/>
            <w:gridSpan w:val="4"/>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ascii="宋体" w:hAnsi="宋体" w:cs="宋体"/>
                <w:kern w:val="0"/>
                <w:sz w:val="24"/>
              </w:rPr>
              <w:t>申请报告                         有□　　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trHeight w:val="640" w:hRule="atLeast"/>
        </w:trPr>
        <w:tc>
          <w:tcPr>
            <w:tcW w:w="8411" w:type="dxa"/>
            <w:gridSpan w:val="4"/>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2.社会团体、基金会、社会服务机构的组织的管理制度　　有□　　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trHeight w:val="640" w:hRule="atLeast"/>
        </w:trPr>
        <w:tc>
          <w:tcPr>
            <w:tcW w:w="8411" w:type="dxa"/>
            <w:gridSpan w:val="4"/>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3.非营利组织注册登记证件复印件           有□　　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trHeight w:val="996" w:hRule="exact"/>
        </w:trPr>
        <w:tc>
          <w:tcPr>
            <w:tcW w:w="8411" w:type="dxa"/>
            <w:gridSpan w:val="4"/>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4.上一年度的资金来源及使用情况、公益活动和非营利活动的明细情况</w:t>
            </w:r>
          </w:p>
          <w:p>
            <w:pPr>
              <w:keepNext w:val="0"/>
              <w:keepLines w:val="0"/>
              <w:pageBreakBefore w:val="0"/>
              <w:widowControl/>
              <w:suppressAutoHyphens w:val="0"/>
              <w:kinsoku/>
              <w:wordWrap/>
              <w:overflowPunct/>
              <w:topLinePunct w:val="0"/>
              <w:autoSpaceDE/>
              <w:autoSpaceDN/>
              <w:bidi w:val="0"/>
              <w:adjustRightInd/>
              <w:snapToGrid/>
              <w:spacing w:line="520" w:lineRule="exact"/>
              <w:ind w:firstLine="5400" w:firstLineChars="2250"/>
              <w:jc w:val="both"/>
              <w:textAlignment w:val="auto"/>
              <w:rPr>
                <w:rFonts w:ascii="宋体" w:hAnsi="宋体" w:cs="宋体"/>
                <w:kern w:val="0"/>
                <w:sz w:val="24"/>
              </w:rPr>
            </w:pPr>
            <w:r>
              <w:rPr>
                <w:rFonts w:ascii="宋体" w:hAnsi="宋体" w:cs="宋体"/>
                <w:kern w:val="0"/>
                <w:sz w:val="24"/>
              </w:rPr>
              <w:t>  有□　　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cantSplit/>
          <w:trHeight w:val="567" w:hRule="exact"/>
        </w:trPr>
        <w:tc>
          <w:tcPr>
            <w:tcW w:w="8411" w:type="dxa"/>
            <w:gridSpan w:val="4"/>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5.上一年度的工作薪金情况专项报告                有□　　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cantSplit/>
          <w:trHeight w:val="567" w:hRule="exact"/>
        </w:trPr>
        <w:tc>
          <w:tcPr>
            <w:tcW w:w="8411" w:type="dxa"/>
            <w:gridSpan w:val="4"/>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6.具有资质的中介机构鉴证的上一年度财务报表和审计报告</w:t>
            </w:r>
            <w:r>
              <w:rPr>
                <w:rFonts w:hint="eastAsia" w:ascii="宋体" w:hAnsi="宋体" w:cs="宋体"/>
                <w:kern w:val="0"/>
                <w:sz w:val="24"/>
                <w:lang w:val="en-US" w:eastAsia="zh-CN"/>
              </w:rPr>
              <w:t xml:space="preserve">    </w:t>
            </w:r>
            <w:r>
              <w:rPr>
                <w:rFonts w:ascii="宋体" w:hAnsi="宋体" w:cs="宋体"/>
                <w:kern w:val="0"/>
                <w:sz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trHeight w:val="925" w:hRule="atLeast"/>
        </w:trPr>
        <w:tc>
          <w:tcPr>
            <w:tcW w:w="8411" w:type="dxa"/>
            <w:gridSpan w:val="4"/>
            <w:tcMar>
              <w:top w:w="0" w:type="dxa"/>
              <w:left w:w="105" w:type="dxa"/>
              <w:bottom w:w="0" w:type="dxa"/>
              <w:right w:w="105" w:type="dxa"/>
            </w:tcMar>
            <w:vAlign w:val="center"/>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7.登记管理机关出具的社会团体、基金会、社会服务机构上一年度符合相关法律法规和国家政策的事业发展情况或非营利活动的材料</w:t>
            </w:r>
            <w:r>
              <w:rPr>
                <w:rFonts w:hint="eastAsia" w:ascii="宋体" w:hAnsi="宋体" w:cs="宋体"/>
                <w:kern w:val="0"/>
                <w:sz w:val="24"/>
                <w:lang w:val="en-US" w:eastAsia="zh-CN"/>
              </w:rPr>
              <w:t xml:space="preserve">    </w:t>
            </w:r>
            <w:r>
              <w:rPr>
                <w:rFonts w:ascii="宋体" w:hAnsi="宋体" w:cs="宋体"/>
                <w:kern w:val="0"/>
                <w:sz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2"/>
          <w:wBefore w:w="3" w:type="dxa"/>
          <w:wAfter w:w="536" w:type="dxa"/>
          <w:trHeight w:val="1475" w:hRule="atLeast"/>
        </w:trPr>
        <w:tc>
          <w:tcPr>
            <w:tcW w:w="8411" w:type="dxa"/>
            <w:gridSpan w:val="4"/>
            <w:tcMar>
              <w:top w:w="0" w:type="dxa"/>
              <w:left w:w="105" w:type="dxa"/>
              <w:bottom w:w="0" w:type="dxa"/>
              <w:right w:w="105" w:type="dxa"/>
            </w:tcMar>
            <w:vAlign w:val="top"/>
          </w:tcPr>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本营非利组织承诺：以上所填信息真实、准确。</w:t>
            </w:r>
          </w:p>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单位负责人：           </w:t>
            </w:r>
          </w:p>
          <w:p>
            <w:pPr>
              <w:keepNext w:val="0"/>
              <w:keepLines w:val="0"/>
              <w:pageBreakBefore w:val="0"/>
              <w:widowControl/>
              <w:suppressAutoHyphens w:val="0"/>
              <w:kinsoku/>
              <w:wordWrap/>
              <w:overflowPunct/>
              <w:topLinePunct w:val="0"/>
              <w:autoSpaceDE/>
              <w:autoSpaceDN/>
              <w:bidi w:val="0"/>
              <w:adjustRightInd/>
              <w:snapToGrid/>
              <w:spacing w:line="520" w:lineRule="exact"/>
              <w:jc w:val="both"/>
              <w:textAlignment w:val="auto"/>
              <w:rPr>
                <w:rFonts w:ascii="宋体" w:hAnsi="宋体" w:cs="宋体"/>
                <w:kern w:val="0"/>
                <w:sz w:val="24"/>
              </w:rPr>
            </w:pPr>
            <w:r>
              <w:rPr>
                <w:rFonts w:ascii="宋体" w:hAnsi="宋体" w:cs="宋体"/>
                <w:kern w:val="0"/>
                <w:sz w:val="24"/>
              </w:rPr>
              <w:t>日期：      （加盖公章）</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Ex>
        <w:trPr>
          <w:gridBefore w:val="1"/>
          <w:gridAfter w:val="1"/>
          <w:wBefore w:w="3" w:type="dxa"/>
          <w:wAfter w:w="516" w:type="dxa"/>
          <w:trHeight w:val="1097" w:hRule="atLeast"/>
        </w:trPr>
        <w:tc>
          <w:tcPr>
            <w:tcW w:w="8431" w:type="dxa"/>
            <w:gridSpan w:val="5"/>
            <w:vAlign w:val="center"/>
          </w:tcPr>
          <w:p>
            <w:pPr>
              <w:keepNext w:val="0"/>
              <w:keepLines w:val="0"/>
              <w:pageBreakBefore w:val="0"/>
              <w:widowControl/>
              <w:suppressAutoHyphens w:val="0"/>
              <w:kinsoku/>
              <w:wordWrap/>
              <w:overflowPunct/>
              <w:topLinePunct w:val="0"/>
              <w:autoSpaceDE/>
              <w:autoSpaceDN/>
              <w:bidi w:val="0"/>
              <w:adjustRightInd/>
              <w:snapToGrid/>
              <w:spacing w:line="520" w:lineRule="exact"/>
              <w:ind w:firstLine="200" w:firstLineChars="100"/>
              <w:jc w:val="both"/>
              <w:textAlignment w:val="auto"/>
              <w:rPr>
                <w:rFonts w:ascii="Times New Roman" w:hAnsi="Times New Roman" w:eastAsia="Times New Roman"/>
                <w:kern w:val="0"/>
                <w:sz w:val="20"/>
                <w:szCs w:val="20"/>
              </w:rPr>
            </w:pPr>
            <w:r>
              <w:rPr>
                <w:rFonts w:hint="eastAsia" w:ascii="Times New Roman" w:hAnsi="Times New Roman" w:eastAsia="等线"/>
                <w:b/>
                <w:kern w:val="0"/>
                <w:sz w:val="20"/>
                <w:szCs w:val="20"/>
              </w:rPr>
              <w:t>备注</w:t>
            </w:r>
            <w:r>
              <w:rPr>
                <w:rFonts w:ascii="Times New Roman" w:hAnsi="Times New Roman" w:eastAsia="等线"/>
                <w:b/>
                <w:kern w:val="0"/>
                <w:sz w:val="20"/>
                <w:szCs w:val="20"/>
              </w:rPr>
              <w:t>：</w:t>
            </w:r>
            <w:r>
              <w:rPr>
                <w:rFonts w:hint="eastAsia" w:ascii="Times New Roman" w:hAnsi="Times New Roman" w:eastAsia="等线"/>
                <w:b/>
                <w:kern w:val="0"/>
                <w:sz w:val="20"/>
                <w:szCs w:val="20"/>
              </w:rPr>
              <w:t>当年新设立或登记的非营利组织需提供本条第（一）项至第（三）项规定的材料及本条第（四）项、第（五）项规定的申请当年的材料</w:t>
            </w:r>
          </w:p>
        </w:tc>
      </w:tr>
    </w:tbl>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bookmarkStart w:id="0" w:name="_GoBack"/>
      <w:bookmarkEnd w:id="0"/>
    </w:p>
    <w:sectPr>
      <w:footerReference r:id="rId3" w:type="default"/>
      <w:pgSz w:w="11906" w:h="16838"/>
      <w:pgMar w:top="2098" w:right="1474" w:bottom="1984" w:left="1587" w:header="720" w:footer="136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ESI宋体-GB2312">
    <w:altName w:val="宋体"/>
    <w:panose1 w:val="02000500000000000000"/>
    <w:charset w:val="86"/>
    <w:family w:val="auto"/>
    <w:pitch w:val="default"/>
    <w:sig w:usb0="800002AF" w:usb1="08476CF8" w:usb2="00000010" w:usb3="00000000" w:csb0="0004000F" w:csb1="00000000"/>
  </w:font>
  <w:font w:name="方正仿宋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黑体_GBK">
    <w:altName w:val="Arial Unicode MS"/>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785"/>
        <w:tab w:val="clear" w:pos="4153"/>
      </w:tabs>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BF7CAD3"/>
    <w:rsid w:val="031176DD"/>
    <w:rsid w:val="11FEE2EF"/>
    <w:rsid w:val="14430DF9"/>
    <w:rsid w:val="1D7E0651"/>
    <w:rsid w:val="1F5F8BA7"/>
    <w:rsid w:val="1FF74C52"/>
    <w:rsid w:val="1FFDAA25"/>
    <w:rsid w:val="26BF25A9"/>
    <w:rsid w:val="27FE708A"/>
    <w:rsid w:val="2ABD918E"/>
    <w:rsid w:val="2B87DEC2"/>
    <w:rsid w:val="2DB76976"/>
    <w:rsid w:val="31DD759A"/>
    <w:rsid w:val="349F63EF"/>
    <w:rsid w:val="36DD059D"/>
    <w:rsid w:val="37FF16FB"/>
    <w:rsid w:val="3DAEE22C"/>
    <w:rsid w:val="3F3F1A46"/>
    <w:rsid w:val="3F7C0137"/>
    <w:rsid w:val="43F78CE2"/>
    <w:rsid w:val="447FB355"/>
    <w:rsid w:val="473FA5AD"/>
    <w:rsid w:val="4CBF3601"/>
    <w:rsid w:val="4FDF7C4D"/>
    <w:rsid w:val="513B9D15"/>
    <w:rsid w:val="55A7FF99"/>
    <w:rsid w:val="55BD979F"/>
    <w:rsid w:val="56DE42F2"/>
    <w:rsid w:val="59AFB792"/>
    <w:rsid w:val="5AFB0FDA"/>
    <w:rsid w:val="5BDFFBF4"/>
    <w:rsid w:val="5CEFDD10"/>
    <w:rsid w:val="5E7D75B5"/>
    <w:rsid w:val="5E9D8239"/>
    <w:rsid w:val="5F7D6381"/>
    <w:rsid w:val="608D2027"/>
    <w:rsid w:val="627D34BF"/>
    <w:rsid w:val="6AFF3FBA"/>
    <w:rsid w:val="6B9BCEC0"/>
    <w:rsid w:val="6CF53DCF"/>
    <w:rsid w:val="6E1EB345"/>
    <w:rsid w:val="6ED748A4"/>
    <w:rsid w:val="6EDD0385"/>
    <w:rsid w:val="6F772A94"/>
    <w:rsid w:val="6FAEE2A5"/>
    <w:rsid w:val="6FB75480"/>
    <w:rsid w:val="71BDA579"/>
    <w:rsid w:val="7A477C53"/>
    <w:rsid w:val="7AF6E686"/>
    <w:rsid w:val="7AFE06EC"/>
    <w:rsid w:val="7BDB3B4F"/>
    <w:rsid w:val="7BE7C13F"/>
    <w:rsid w:val="7BFAE058"/>
    <w:rsid w:val="7D7D8850"/>
    <w:rsid w:val="7DFF6696"/>
    <w:rsid w:val="7EBF58A8"/>
    <w:rsid w:val="7EFD4D83"/>
    <w:rsid w:val="7F36C067"/>
    <w:rsid w:val="7F7A3641"/>
    <w:rsid w:val="7F7D3591"/>
    <w:rsid w:val="7F7F3117"/>
    <w:rsid w:val="7FD73E46"/>
    <w:rsid w:val="7FDBAAA0"/>
    <w:rsid w:val="7FFD7A92"/>
    <w:rsid w:val="7FFEB85B"/>
    <w:rsid w:val="8E5F4092"/>
    <w:rsid w:val="8F5833FC"/>
    <w:rsid w:val="8FDBEF5F"/>
    <w:rsid w:val="9BF7A1CB"/>
    <w:rsid w:val="AD5E5E39"/>
    <w:rsid w:val="BBFAAA85"/>
    <w:rsid w:val="BDD8E4F9"/>
    <w:rsid w:val="BFED93EF"/>
    <w:rsid w:val="BFF7BE04"/>
    <w:rsid w:val="C7B79172"/>
    <w:rsid w:val="CFD6CD35"/>
    <w:rsid w:val="D7BFC138"/>
    <w:rsid w:val="DB6F690C"/>
    <w:rsid w:val="DBBF0A7B"/>
    <w:rsid w:val="DE7F7254"/>
    <w:rsid w:val="DF39D47D"/>
    <w:rsid w:val="E0ED6266"/>
    <w:rsid w:val="EDD6397A"/>
    <w:rsid w:val="EEEEE129"/>
    <w:rsid w:val="EF971185"/>
    <w:rsid w:val="F1BB10A4"/>
    <w:rsid w:val="F271990A"/>
    <w:rsid w:val="F2EB49C3"/>
    <w:rsid w:val="F3FF892D"/>
    <w:rsid w:val="F5FDD571"/>
    <w:rsid w:val="F67F27A2"/>
    <w:rsid w:val="F6E3B11D"/>
    <w:rsid w:val="F7B66257"/>
    <w:rsid w:val="FABF023F"/>
    <w:rsid w:val="FB573494"/>
    <w:rsid w:val="FB7B4336"/>
    <w:rsid w:val="FBB7E062"/>
    <w:rsid w:val="FBBCBC63"/>
    <w:rsid w:val="FBF7CAD3"/>
    <w:rsid w:val="FC5EE4CA"/>
    <w:rsid w:val="FDE3F5EE"/>
    <w:rsid w:val="FDFB89DE"/>
    <w:rsid w:val="FEDF517E"/>
    <w:rsid w:val="FEE7F699"/>
    <w:rsid w:val="FEF20CAF"/>
    <w:rsid w:val="FEFD7E06"/>
    <w:rsid w:val="FEFE44DD"/>
    <w:rsid w:val="FF672C64"/>
    <w:rsid w:val="FF77E5DC"/>
    <w:rsid w:val="FFDB49E9"/>
    <w:rsid w:val="FFF2E8E5"/>
    <w:rsid w:val="FFFB6D88"/>
    <w:rsid w:val="FFFBF659"/>
    <w:rsid w:val="FFFEE244"/>
    <w:rsid w:val="FFFF2567"/>
    <w:rsid w:val="FFFFAA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2023-08-17T22:04:00Z</dcterms:created>
  <dc:creator>user</dc:creator>
  <cp:lastModifiedBy>tang</cp:lastModifiedBy>
  <cp:lastPrinted>2023-09-02T10:03:36Z</cp:lastPrinted>
  <dcterms:modified xsi:type="dcterms:W3CDTF">2023-09-01T08:54:56Z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