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E8" w:rsidRDefault="000200FF" w:rsidP="00AD36E8">
      <w:pPr>
        <w:spacing w:line="580" w:lineRule="exact"/>
        <w:jc w:val="center"/>
        <w:rPr>
          <w:rFonts w:hint="eastAsia"/>
          <w:b/>
          <w:sz w:val="44"/>
          <w:szCs w:val="44"/>
        </w:rPr>
      </w:pPr>
      <w:r w:rsidRPr="00AD36E8">
        <w:rPr>
          <w:rFonts w:hint="eastAsia"/>
          <w:b/>
          <w:sz w:val="44"/>
          <w:szCs w:val="44"/>
        </w:rPr>
        <w:t>吉林省民政厅吉林省财政厅关于免除</w:t>
      </w:r>
    </w:p>
    <w:p w:rsidR="00636715" w:rsidRPr="00AD36E8" w:rsidRDefault="000200FF" w:rsidP="00AD36E8">
      <w:pPr>
        <w:spacing w:line="580" w:lineRule="exact"/>
        <w:jc w:val="center"/>
        <w:rPr>
          <w:rFonts w:hint="eastAsia"/>
          <w:b/>
          <w:sz w:val="44"/>
          <w:szCs w:val="44"/>
        </w:rPr>
      </w:pPr>
      <w:r w:rsidRPr="00AD36E8">
        <w:rPr>
          <w:rFonts w:hint="eastAsia"/>
          <w:b/>
          <w:sz w:val="44"/>
          <w:szCs w:val="44"/>
        </w:rPr>
        <w:t>城乡</w:t>
      </w:r>
      <w:proofErr w:type="gramStart"/>
      <w:r w:rsidRPr="00AD36E8">
        <w:rPr>
          <w:rFonts w:hint="eastAsia"/>
          <w:b/>
          <w:sz w:val="44"/>
          <w:szCs w:val="44"/>
        </w:rPr>
        <w:t>低保对象</w:t>
      </w:r>
      <w:proofErr w:type="gramEnd"/>
      <w:r w:rsidRPr="00AD36E8">
        <w:rPr>
          <w:rFonts w:hint="eastAsia"/>
          <w:b/>
          <w:sz w:val="44"/>
          <w:szCs w:val="44"/>
        </w:rPr>
        <w:t>基本殡葬服务费用的通知</w:t>
      </w:r>
    </w:p>
    <w:p w:rsidR="000200FF" w:rsidRPr="00AD36E8" w:rsidRDefault="000200FF" w:rsidP="00AD36E8">
      <w:pPr>
        <w:spacing w:line="580" w:lineRule="exact"/>
        <w:rPr>
          <w:rFonts w:ascii="仿宋" w:eastAsia="仿宋" w:hAnsi="仿宋" w:hint="eastAsia"/>
          <w:sz w:val="32"/>
          <w:szCs w:val="32"/>
        </w:rPr>
      </w:pPr>
    </w:p>
    <w:p w:rsidR="000200FF" w:rsidRPr="00AD36E8" w:rsidRDefault="000200FF" w:rsidP="00AD36E8">
      <w:pPr>
        <w:spacing w:line="580" w:lineRule="exact"/>
        <w:jc w:val="center"/>
        <w:rPr>
          <w:rFonts w:ascii="仿宋" w:eastAsia="仿宋" w:hAnsi="仿宋" w:hint="eastAsia"/>
          <w:sz w:val="32"/>
          <w:szCs w:val="32"/>
        </w:rPr>
      </w:pPr>
      <w:r w:rsidRPr="00AD36E8">
        <w:rPr>
          <w:rFonts w:ascii="仿宋" w:eastAsia="仿宋" w:hAnsi="仿宋" w:hint="eastAsia"/>
          <w:sz w:val="32"/>
          <w:szCs w:val="32"/>
        </w:rPr>
        <w:t>吉民发〔2011〕72号</w:t>
      </w:r>
    </w:p>
    <w:p w:rsidR="000200FF" w:rsidRPr="00AD36E8" w:rsidRDefault="000200FF" w:rsidP="00AD36E8">
      <w:pPr>
        <w:spacing w:line="580" w:lineRule="exact"/>
        <w:rPr>
          <w:rFonts w:ascii="仿宋" w:eastAsia="仿宋" w:hAnsi="仿宋" w:hint="eastAsia"/>
          <w:sz w:val="32"/>
          <w:szCs w:val="32"/>
        </w:rPr>
      </w:pPr>
    </w:p>
    <w:p w:rsidR="000200FF" w:rsidRPr="00AD36E8" w:rsidRDefault="000200FF" w:rsidP="00AD36E8">
      <w:pPr>
        <w:spacing w:line="580" w:lineRule="exact"/>
        <w:rPr>
          <w:rFonts w:ascii="仿宋" w:eastAsia="仿宋" w:hAnsi="仿宋" w:hint="eastAsia"/>
          <w:sz w:val="32"/>
          <w:szCs w:val="32"/>
        </w:rPr>
      </w:pPr>
      <w:r w:rsidRPr="00AD36E8">
        <w:rPr>
          <w:rFonts w:ascii="仿宋" w:eastAsia="仿宋" w:hAnsi="仿宋" w:hint="eastAsia"/>
          <w:sz w:val="32"/>
          <w:szCs w:val="32"/>
        </w:rPr>
        <w:t>各市（州）民政局、财政局，长白山管委会社会管理办公室、财政局，各县（市、区）民政局、财政局：</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为进一步深化殡葬改革，切实保障困难群众基本丧葬需求，实现殡葬基本公共服务均等化，促进社会和谐进步，决定免除城乡</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的基本殡葬服务费用。现就具体事宜通知如下：</w:t>
      </w:r>
    </w:p>
    <w:p w:rsidR="000200FF" w:rsidRPr="00AD36E8" w:rsidRDefault="000200FF"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t>一、免除费用对象</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具有我省常住户籍的</w:t>
      </w:r>
      <w:proofErr w:type="gramStart"/>
      <w:r w:rsidRPr="00AD36E8">
        <w:rPr>
          <w:rFonts w:ascii="仿宋" w:eastAsia="仿宋" w:hAnsi="仿宋" w:hint="eastAsia"/>
          <w:sz w:val="32"/>
          <w:szCs w:val="32"/>
        </w:rPr>
        <w:t>城乡低保对象</w:t>
      </w:r>
      <w:proofErr w:type="gramEnd"/>
      <w:r w:rsidRPr="00AD36E8">
        <w:rPr>
          <w:rFonts w:ascii="仿宋" w:eastAsia="仿宋" w:hAnsi="仿宋" w:hint="eastAsia"/>
          <w:sz w:val="32"/>
          <w:szCs w:val="32"/>
        </w:rPr>
        <w:t>，公安机关开具证明的无名尸。</w:t>
      </w:r>
    </w:p>
    <w:p w:rsidR="000200FF" w:rsidRPr="00AD36E8" w:rsidRDefault="000200FF"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t>二、免除费用项目和标准</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普通车辆遗体接运、2日内普通冷（冻）柜遗体存放、普通火化设备遗体火化、1个普通卫生纸棺、1个普通骨灰盒、1</w:t>
      </w:r>
      <w:r w:rsidR="00507B4C">
        <w:rPr>
          <w:rFonts w:ascii="仿宋" w:eastAsia="仿宋" w:hAnsi="仿宋" w:hint="eastAsia"/>
          <w:sz w:val="32"/>
          <w:szCs w:val="32"/>
        </w:rPr>
        <w:t>年</w:t>
      </w:r>
      <w:r w:rsidRPr="00AD36E8">
        <w:rPr>
          <w:rFonts w:ascii="仿宋" w:eastAsia="仿宋" w:hAnsi="仿宋" w:hint="eastAsia"/>
          <w:sz w:val="32"/>
          <w:szCs w:val="32"/>
        </w:rPr>
        <w:t>骨灰寄存。无名</w:t>
      </w:r>
      <w:proofErr w:type="gramStart"/>
      <w:r w:rsidRPr="00AD36E8">
        <w:rPr>
          <w:rFonts w:ascii="仿宋" w:eastAsia="仿宋" w:hAnsi="仿宋" w:hint="eastAsia"/>
          <w:sz w:val="32"/>
          <w:szCs w:val="32"/>
        </w:rPr>
        <w:t>尸</w:t>
      </w:r>
      <w:proofErr w:type="gramEnd"/>
      <w:r w:rsidRPr="00AD36E8">
        <w:rPr>
          <w:rFonts w:ascii="仿宋" w:eastAsia="仿宋" w:hAnsi="仿宋" w:hint="eastAsia"/>
          <w:sz w:val="32"/>
          <w:szCs w:val="32"/>
        </w:rPr>
        <w:t>减免费用除按实际存放天数产生的费用核算外，其他减免项目不变。</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上述所免除费用项目收费标准为当地物价部门核定的项目最低收费标准。</w:t>
      </w:r>
    </w:p>
    <w:p w:rsidR="000200FF" w:rsidRPr="00AD36E8" w:rsidRDefault="000200FF"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t>三、办理程序</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（一）丧失承办人应持本人居民身份证和免除费用对象的身份证或户口薄、</w:t>
      </w:r>
      <w:proofErr w:type="gramStart"/>
      <w:r w:rsidRPr="00AD36E8">
        <w:rPr>
          <w:rFonts w:ascii="仿宋" w:eastAsia="仿宋" w:hAnsi="仿宋" w:hint="eastAsia"/>
          <w:sz w:val="32"/>
          <w:szCs w:val="32"/>
        </w:rPr>
        <w:t>低保证</w:t>
      </w:r>
      <w:proofErr w:type="gramEnd"/>
      <w:r w:rsidRPr="00AD36E8">
        <w:rPr>
          <w:rFonts w:ascii="仿宋" w:eastAsia="仿宋" w:hAnsi="仿宋" w:hint="eastAsia"/>
          <w:sz w:val="32"/>
          <w:szCs w:val="32"/>
        </w:rPr>
        <w:t>原件、死亡证明等相关证件，到</w:t>
      </w:r>
      <w:r w:rsidRPr="00AD36E8">
        <w:rPr>
          <w:rFonts w:ascii="仿宋" w:eastAsia="仿宋" w:hAnsi="仿宋" w:hint="eastAsia"/>
          <w:sz w:val="32"/>
          <w:szCs w:val="32"/>
        </w:rPr>
        <w:lastRenderedPageBreak/>
        <w:t>免除费用对象的户籍所在</w:t>
      </w:r>
      <w:r w:rsidR="00BA7750">
        <w:rPr>
          <w:rFonts w:ascii="仿宋" w:eastAsia="仿宋" w:hAnsi="仿宋" w:hint="eastAsia"/>
          <w:sz w:val="32"/>
          <w:szCs w:val="32"/>
        </w:rPr>
        <w:t>地</w:t>
      </w:r>
      <w:r w:rsidRPr="00AD36E8">
        <w:rPr>
          <w:rFonts w:ascii="仿宋" w:eastAsia="仿宋" w:hAnsi="仿宋" w:hint="eastAsia"/>
          <w:sz w:val="32"/>
          <w:szCs w:val="32"/>
        </w:rPr>
        <w:t>依法注册的殡仪馆，申请办理免除相关殡葬服务项目费用事宜。经殡仪馆审查确认后，对符合条件的，在结算殡殓费用时由殡仪馆直接免除相关费用。</w:t>
      </w:r>
    </w:p>
    <w:p w:rsidR="000200FF" w:rsidRPr="00AD36E8" w:rsidRDefault="000200FF"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（二）免除城乡</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基本殡葬服务项目费用，应以</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户籍所</w:t>
      </w:r>
      <w:r w:rsidR="00BA7750">
        <w:rPr>
          <w:rFonts w:ascii="仿宋" w:eastAsia="仿宋" w:hAnsi="仿宋" w:hint="eastAsia"/>
          <w:sz w:val="32"/>
          <w:szCs w:val="32"/>
        </w:rPr>
        <w:t>在市、县（市）为</w:t>
      </w:r>
      <w:r w:rsidRPr="00AD36E8">
        <w:rPr>
          <w:rFonts w:ascii="仿宋" w:eastAsia="仿宋" w:hAnsi="仿宋" w:hint="eastAsia"/>
          <w:sz w:val="32"/>
          <w:szCs w:val="32"/>
        </w:rPr>
        <w:t>划分，实行属地办理。如户籍所在地无殡仪馆，需凭本省范围内火化制式发票回户籍所在地民政部门办理相关减免手续，减免标准按火化地减免标准执行；户籍所在地有殡仪馆但在外地死亡火化的，凭本省范围内火化制式发票回户籍所在地殡仪馆办理相关减免手续，减免标准按户籍所在地减免标准执行。</w:t>
      </w:r>
    </w:p>
    <w:p w:rsidR="000200FF"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（三）所选择的单项减免项目费用超规定标准的，由承办人自行承担；但对低于减免规定标准总费用部门，不抵返现金。</w:t>
      </w:r>
    </w:p>
    <w:p w:rsidR="00562098" w:rsidRPr="00AD36E8" w:rsidRDefault="00562098"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t>四、补助渠道</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对殡仪馆免除困难群众基本丧葬服务项目费用的资金补贴，由各级民政、财政部门根据物价部门确定的收费标准和殡仪馆实际减免的困难群体死亡对象数量具体核定补助支出。殡仪馆将免除困难群体数量和费用报当地民政部门，由同级民政部门核定免除数额，报财政部门审定后，由同级财政部门将资金拨付当地民政部门，再由民政部门拨付给殡仪馆。财政部门按照实际发生量每年1月末和7</w:t>
      </w:r>
      <w:r w:rsidR="00667E38">
        <w:rPr>
          <w:rFonts w:ascii="仿宋" w:eastAsia="仿宋" w:hAnsi="仿宋" w:hint="eastAsia"/>
          <w:sz w:val="32"/>
          <w:szCs w:val="32"/>
        </w:rPr>
        <w:t>月末各</w:t>
      </w:r>
      <w:bookmarkStart w:id="0" w:name="_GoBack"/>
      <w:bookmarkEnd w:id="0"/>
      <w:r w:rsidRPr="00AD36E8">
        <w:rPr>
          <w:rFonts w:ascii="仿宋" w:eastAsia="仿宋" w:hAnsi="仿宋" w:hint="eastAsia"/>
          <w:sz w:val="32"/>
          <w:szCs w:val="32"/>
        </w:rPr>
        <w:t>办理结算一次。</w:t>
      </w:r>
    </w:p>
    <w:p w:rsidR="00562098" w:rsidRPr="00AD36E8" w:rsidRDefault="00562098"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t>五、实施时间</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从2012年1月1日起实施。</w:t>
      </w:r>
    </w:p>
    <w:p w:rsidR="00562098" w:rsidRPr="00AD36E8" w:rsidRDefault="00562098" w:rsidP="00AD36E8">
      <w:pPr>
        <w:spacing w:line="580" w:lineRule="exact"/>
        <w:ind w:firstLine="660"/>
        <w:rPr>
          <w:rFonts w:ascii="黑体" w:eastAsia="黑体" w:hAnsi="黑体" w:hint="eastAsia"/>
          <w:sz w:val="32"/>
          <w:szCs w:val="32"/>
        </w:rPr>
      </w:pPr>
      <w:r w:rsidRPr="00AD36E8">
        <w:rPr>
          <w:rFonts w:ascii="黑体" w:eastAsia="黑体" w:hAnsi="黑体" w:hint="eastAsia"/>
          <w:sz w:val="32"/>
          <w:szCs w:val="32"/>
        </w:rPr>
        <w:lastRenderedPageBreak/>
        <w:t>六、工作要求</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（一）高度负责，确保政策顺利实施。各级民政和财政部门要以对城乡</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切身利益高度负责的精神，在深入调研、充分论证的基础上，科学合理地制定具体的实施办法，进一步明确责任分工，规范办理程序。要建立良好的工作制度和运行机制，确保免除城乡</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基本殡葬服务费用工作顺利实施。</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二）明确责任，确保政策落到实处。民政部门要坚持“便民、利民、惠民”原则，确保殡仪馆补贴对象资料审核和经费结算便捷、高效、准确。殡葬服务要做到公开公正，主动接受财政和审计部门的检查及社会群众的监督，确保服务质量。财政部门要将免除城乡</w:t>
      </w:r>
      <w:proofErr w:type="gramStart"/>
      <w:r w:rsidRPr="00AD36E8">
        <w:rPr>
          <w:rFonts w:ascii="仿宋" w:eastAsia="仿宋" w:hAnsi="仿宋" w:hint="eastAsia"/>
          <w:sz w:val="32"/>
          <w:szCs w:val="32"/>
        </w:rPr>
        <w:t>低保对象</w:t>
      </w:r>
      <w:proofErr w:type="gramEnd"/>
      <w:r w:rsidRPr="00AD36E8">
        <w:rPr>
          <w:rFonts w:ascii="仿宋" w:eastAsia="仿宋" w:hAnsi="仿宋" w:hint="eastAsia"/>
          <w:sz w:val="32"/>
          <w:szCs w:val="32"/>
        </w:rPr>
        <w:t>基本殡葬服务费用所需资金纳入年度预算，足额安排，专款专用，定期结算，并</w:t>
      </w:r>
      <w:proofErr w:type="gramStart"/>
      <w:r w:rsidRPr="00AD36E8">
        <w:rPr>
          <w:rFonts w:ascii="仿宋" w:eastAsia="仿宋" w:hAnsi="仿宋" w:hint="eastAsia"/>
          <w:sz w:val="32"/>
          <w:szCs w:val="32"/>
        </w:rPr>
        <w:t>随死亡低保对象</w:t>
      </w:r>
      <w:proofErr w:type="gramEnd"/>
      <w:r w:rsidRPr="00AD36E8">
        <w:rPr>
          <w:rFonts w:ascii="仿宋" w:eastAsia="仿宋" w:hAnsi="仿宋" w:hint="eastAsia"/>
          <w:sz w:val="32"/>
          <w:szCs w:val="32"/>
        </w:rPr>
        <w:t>数量增减和物价部门收费标准的调整而调整。</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（三）积极推进殡葬惠民政策的实施。各地在确保殡葬基本服务救助政策全面落实的基础上，可根据本地实际情况适当扩大殡葬救助对象范围、增加救助项目、提高救助标准，逐步实现殡葬</w:t>
      </w:r>
      <w:proofErr w:type="gramStart"/>
      <w:r w:rsidRPr="00AD36E8">
        <w:rPr>
          <w:rFonts w:ascii="仿宋" w:eastAsia="仿宋" w:hAnsi="仿宋" w:hint="eastAsia"/>
          <w:sz w:val="32"/>
          <w:szCs w:val="32"/>
        </w:rPr>
        <w:t>惠民全</w:t>
      </w:r>
      <w:proofErr w:type="gramEnd"/>
      <w:r w:rsidRPr="00AD36E8">
        <w:rPr>
          <w:rFonts w:ascii="仿宋" w:eastAsia="仿宋" w:hAnsi="仿宋" w:hint="eastAsia"/>
          <w:sz w:val="32"/>
          <w:szCs w:val="32"/>
        </w:rPr>
        <w:t>覆盖的目标。</w:t>
      </w:r>
    </w:p>
    <w:p w:rsidR="00562098" w:rsidRPr="00AD36E8" w:rsidRDefault="00562098" w:rsidP="00AD36E8">
      <w:pPr>
        <w:spacing w:line="580" w:lineRule="exact"/>
        <w:ind w:firstLine="660"/>
        <w:rPr>
          <w:rFonts w:ascii="仿宋" w:eastAsia="仿宋" w:hAnsi="仿宋" w:hint="eastAsia"/>
          <w:sz w:val="32"/>
          <w:szCs w:val="32"/>
        </w:rPr>
      </w:pPr>
    </w:p>
    <w:p w:rsidR="00562098" w:rsidRPr="00AD36E8" w:rsidRDefault="00562098" w:rsidP="00AD36E8">
      <w:pPr>
        <w:spacing w:line="580" w:lineRule="exact"/>
        <w:ind w:firstLine="660"/>
        <w:rPr>
          <w:rFonts w:ascii="仿宋" w:eastAsia="仿宋" w:hAnsi="仿宋" w:hint="eastAsia"/>
          <w:sz w:val="32"/>
          <w:szCs w:val="32"/>
        </w:rPr>
      </w:pP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 xml:space="preserve">                   吉林省民政厅    吉林省财政厅</w:t>
      </w:r>
    </w:p>
    <w:p w:rsidR="00562098" w:rsidRPr="00AD36E8" w:rsidRDefault="00562098" w:rsidP="00AD36E8">
      <w:pPr>
        <w:spacing w:line="580" w:lineRule="exact"/>
        <w:ind w:firstLine="660"/>
        <w:rPr>
          <w:rFonts w:ascii="仿宋" w:eastAsia="仿宋" w:hAnsi="仿宋" w:hint="eastAsia"/>
          <w:sz w:val="32"/>
          <w:szCs w:val="32"/>
        </w:rPr>
      </w:pPr>
      <w:r w:rsidRPr="00AD36E8">
        <w:rPr>
          <w:rFonts w:ascii="仿宋" w:eastAsia="仿宋" w:hAnsi="仿宋" w:hint="eastAsia"/>
          <w:sz w:val="32"/>
          <w:szCs w:val="32"/>
        </w:rPr>
        <w:t xml:space="preserve">                        2011年11月2日</w:t>
      </w:r>
    </w:p>
    <w:sectPr w:rsidR="00562098" w:rsidRPr="00AD3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97"/>
    <w:rsid w:val="000200FF"/>
    <w:rsid w:val="00507B4C"/>
    <w:rsid w:val="00562098"/>
    <w:rsid w:val="005F0697"/>
    <w:rsid w:val="00664FAC"/>
    <w:rsid w:val="00667E38"/>
    <w:rsid w:val="00775AF5"/>
    <w:rsid w:val="00AD36E8"/>
    <w:rsid w:val="00BA7750"/>
    <w:rsid w:val="00CE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2014-12-25T02:46:00Z</dcterms:created>
  <dcterms:modified xsi:type="dcterms:W3CDTF">2014-12-25T03:12:00Z</dcterms:modified>
</cp:coreProperties>
</file>